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51</w:t>
      </w:r>
    </w:p>
    <w:p>
      <w:r>
        <w:t>Bundesgericht (BGE), 2016-11-21, FR</w:t>
      </w:r>
    </w:p>
    <w:p>
      <w:r>
        <w:rPr>
          <w:b/>
        </w:rPr>
        <w:t xml:space="preserve">Quelle: </w:t>
      </w:r>
      <w:r>
        <w:t>https://mcp.opencaselaw.ch/entscheid/bge_143 III 51</w:t>
      </w:r>
    </w:p>
    <w:p>
      <w:r>
        <w:t>FR: ATF 143 III 51</w:t>
      </w:r>
    </w:p>
    <w:p>
      <w:r>
        <w:t>IT: DTF 143 III 51</w:t>
      </w:r>
    </w:p>
    <w:p>
      <w:pPr>
        <w:pStyle w:val="Heading2"/>
      </w:pPr>
      <w:r>
        <w:t>Regeste</w:t>
      </w:r>
    </w:p>
    <w:p>
      <w:r>
        <w:t>Regeste Art. 27 Abs. 1, Art. 31 und 96 IPRG; Art. 98 BGG; Anerkennung einer erbrechtlichen Urkunde des Auslands, schweizerischer (materieller) Ordre public. Der Entscheid über die Anerkennung einer - vorliegend erbrechtlichen - Urkunde des Auslands ist keine vorsorgliche Massnahme im Sinne von Art. 98 BGG (E. 2.3). Die Ehefrau christlichen Glaubens von jeglicher Erbberechtigung am Nachlass ihres Ehemannes muslimischer Religionszugehörigkeit auszuschliessen, verstösst gegen den schweizerischen Ordre public (E. 3.3).</w:t>
      </w:r>
    </w:p>
    <w:p>
      <w:pPr>
        <w:pStyle w:val="Heading2"/>
      </w:pPr>
      <w:r>
        <w:t>Erwägungen</w:t>
      </w:r>
    </w:p>
    <w:p>
      <w:r>
        <w:rPr>
          <w:b/>
        </w:rPr>
        <w:t>E. 2</w:t>
      </w:r>
    </w:p>
    <w:p>
      <w:r>
        <w:t>(...)</w:t>
      </w:r>
    </w:p>
    <w:p>
      <w:r>
        <w:rPr>
          <w:b/>
        </w:rPr>
        <w:t>E. 2.3</w:t>
      </w:r>
    </w:p>
    <w:p>
      <w:r>
        <w:t>La qualification d'un acte étranger s'opère au regard de la lex fori , à savoir en l'occurrence le droit suisse (arrêt 5P.388/1991 du 5 mars 1992 consid. 3b). Selon l'autorité précédente, l'"acte d'hoirie" litigieux équivaut à un "certificat d'héritier", dont l'établissement est assimilé à une mesure provisionnelle au sens de l' art. 98 LTF (arrêt 5A_252/2016 du 7 juin 2016 consid. 1.2 et les arrêts cités). Il n'y a pas lieu d'examiner le bien-fondé de cette qualification. Lorsque le litige porte sur la reconnaissance ou l'exequatur d'un acte étranger, la cognition du Tribunal fédéral n'est pas limitée à la BGE 143 III 51 S. 53 violation des droits constitutionnels, quelle que soit la nature - provisionnelle ou non - de l'acte en discussion ( ATF 135 III 670 consid. 1.3.2; arrêt 5A_193/2010 du 7 juillet 2010 consid. 1.2). Il s'ensuit que la partie recourante peut invoquer tous les motifs de recours prévus aux art. 95 et 96 LTF , sauf à préciser que, le litige étant de nature pécuniaire, le Tribunal fédéral ne peut revoir l'application du droit étranger que sous l'angle restreint de l'arbitraire ( ATF 138 III 489 consid. 4.3 et les arrêts cités).</w:t>
      </w:r>
    </w:p>
    <w:p>
      <w:r>
        <w:rPr>
          <w:b/>
        </w:rPr>
        <w:t>E. 3</w:t>
      </w:r>
    </w:p>
    <w:p>
      <w:r>
        <w:t>(...)</w:t>
      </w:r>
    </w:p>
    <w:p>
      <w:r>
        <w:rPr>
          <w:b/>
        </w:rPr>
        <w:t>E. 3.3.1</w:t>
      </w:r>
    </w:p>
    <w:p>
      <w:r>
        <w:t>Enfin, les recourants exposent en substance que, en refusant de reconnaître l'"acte d'hoirie", les magistrats cantonaux ont faussement appliqué l' art. 27 al. 1 LDIP (RS 291).</w:t>
      </w:r>
    </w:p>
    <w:p>
      <w:r>
        <w:rPr>
          <w:b/>
        </w:rPr>
        <w:t>E. 3.3.2</w:t>
      </w:r>
    </w:p>
    <w:p>
      <w:r>
        <w:t>En vertu de l' art. 27 al. 1 LDIP (en relation avec l' art. 31 LDIP ), la reconnaissance d'un acte étranger - en l'occurrence l'"acte d'hoirie" établi par le tribunal égyptien - doit être refusée en Suisse lorsqu'elle est manifestement incompatible avec l'ordre public suisse, c'est-à-dire lorsqu'elle heurte de manière intolérable les principes fondamentaux de l'ordre juridique suisse (cf. parmi d'autres: ATF 142 III 180 consid. 3.2; ATF 134 III 661 consid. 4.1). En tant que clause d'exception, la réserve de l'ordre public (matériel) est d'interprétation restrictive; tel est le cas, en particulier, dans le domaine de la reconnaissance et de l'exécution des actes ou jugements étrangers, où sa portée est plus étroite que pour l'application directe du droit étranger (cf. en particulier: ATF 142 III 180 consid. 3.2; ATF 141 III 328 consid. 5.1). Dans cette optique, l'intervention de la clause de réserve suppose, d'après la jurisprudence, que l'affaire présente un "lien suffisant" avec l'Etat du juge requis, en l'espèce la Suisse ("Binnenbeziehung"; ATF 126 III 327 consid. 4c [i.c. au sujet de la reconnaissance d'une répudiation selon le droit libanais]; cf. sur la question, parmi d'autres: OTHENIN-GIRARD, La réserve d'ordre public en droit international privé suisse, 1999, p. 211 ss et les citations). (...)</w:t>
      </w:r>
    </w:p>
    <w:p>
      <w:r>
        <w:rPr>
          <w:b/>
        </w:rPr>
        <w:t>E. 3.3.4</w:t>
      </w:r>
    </w:p>
    <w:p>
      <w:r>
        <w:t>Le point de savoir si, comme l'admet l'autorité cantonale, l'"acte d'hoirie" enfreint l'ordre public (matériel) suisse en tant qu'il accorde à l'héritier de sexe masculin une part double de celle de l'héritier de sexe féminin n'a pas besoin d'être résolue ici; c'est la situation de l'intimée, épouse du de cujus et opposante à la procédure de reconnaissance (art. 29 al. 2, par renvoi de l' art. 31 LDIP ), qui est en cause dans le cas présent. Les longues discussions des recourants à cet BGE 143 III 51 S. 54 égard s'avèrent ainsi hors de propos (cf. sur cette question: ALDEEB ABU-SAHLIEH, Droit musulman de la famille et des successions en Suisse, Revue critique de droit international privé [RCDIP] 2007p. 530 s.; dans un avis du 17 juillet 1980, l'Office fédéral de la justice s'est demandé si pareille règle "est bien compatible avec l'ordre public suisse", mais sans y répondre: JAAC 45/1981 n° 31 [i.c. au sujet de la législation iranienne]).</w:t>
      </w:r>
    </w:p>
    <w:p>
      <w:r>
        <w:rPr>
          <w:b/>
        </w:rPr>
        <w:t>E. 3.3.5</w:t>
      </w:r>
    </w:p>
    <w:p>
      <w:r>
        <w:t>Les recourants se prévalent d'un "acte d'hoirie" dressé par un tribunal égyptien afin de réclamer, en leur qualité d'héritiers, les actifs que le de cujus détenait auprès d'établissements bancaires à Genève; cet acte "constat[e] la dévolution de sa succession légale àses frères et soeurs", à l'exclusion de son épouse. Cette exclusion repose sur le constat - non critiqué par les parties ( art. 106 al. 2 LTF ) - qu'il"n'y a pas de succession entre un musulman et un non musulman" (cf. parmi plusieurs: ALDEEB ABU-SALIEH, op. cit., p. 529). Comme l'ont retenu les juges précédents, un tel résultat contrevient clairement au principe de l'interdiction de la discrimination en raison des convictions religieuses, qui - indépendamment de sa valeur constitutionnelle ( art. 8 al. 2 Cst. ; cf. art. 14 CEDH et 26 Pacte ONU II [RS 0.103.2]) - ressortit à l'ordre public suisse (BUCHER, in Commentaire romand, Loi sur le droit international privé, Convention de Lugano, 2011, n° 18 ad art. 90 LDIP ; KINSCH, Le droit musulman de la famille, les droits de l'homme [ou de la femme] et l'ordre public des Etats européens, Bulletin d'information sur les droits de l'Homme 14/2009 p. 35, avec les citations en note 41; SCHWANDER, Diskriminierungsverbot und Gleichstellungsrecht im internationalen Privat- und Zivilprozessrecht, AJP 1993 p. 1408; dans ce sens, en Allemagne, précisément pour le droit égyptien: arrêt de l'OLG Hamm du 28 février 2005, Praxis des Internationalen Privat- und Verfahrensrechts [IPRax] 2006 p. 481 ss). Sans réfuter expressément cette conclusion, les recourants objectent toutefois l'absence d'"Inlandsbeziehung"; mais ils se trompent. Selon l'auteur auquel s'est ralliée la juridiction précédente, cette considération n'est plus pertinente lorsque des discriminations fondées, notamment, sur le sexe, la race ou la religion sont prohibées "en vertu de différents instruments internationaux consacrant des droits fondamentaux et de l'homme" (BUCHER, loc. cit., avec les citations); d'autres, en revanche, s'en tiennent à l'exigence de liens suffisants avec la Suisse (cf. parmi d'autres: ALDEEB ABU-SALIEH, op. cit., p. 530; KINSCH, loc. cit.; OTHENIN-GIRARD, op. cit., n° 948). Il n'y a pas lieu d'arbitrer le débat, car de tels liens existent de toute manière en BGE 143 III 51 S. 55 l'occurrence, vu le lieu de situation en Suisse d'actifs successoraux sur lesquels les recourants entendent exercer leurs prérogatives héréditaires (KINSCH, op. cit., p. 36 ch. 5, qui se réfère à une résolution de l'Institut de droit international de 2005, à teneur de laquelle les Etats "pourront opposer l'ordre public aux lois successorales étrangères comportant des discriminations fondées sur le sexe ou la religion lorsque des biens de la succession se trouvaient dans l'Etat du for au moment du décès"; plus dubitatif: OTHENIN-GIRARD, loc. cit.). Le moyen pris d'une violation de l' art. 27 al. 1 LDIP apparaît dès lors mal fondé, dans la mesure où il est 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